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1" w:rsidRDefault="009458C1" w:rsidP="009458C1">
      <w:pPr>
        <w:pStyle w:val="BodyText"/>
        <w:ind w:left="0"/>
        <w:rPr>
          <w:b/>
        </w:rPr>
      </w:pPr>
      <w:bookmarkStart w:id="0" w:name="_GoBack"/>
      <w:bookmarkEnd w:id="0"/>
    </w:p>
    <w:p w:rsidR="009458C1" w:rsidRPr="0081316B" w:rsidRDefault="0081316B" w:rsidP="0081316B">
      <w:pPr>
        <w:pStyle w:val="BodyText"/>
        <w:ind w:left="0"/>
        <w:jc w:val="center"/>
        <w:rPr>
          <w:b/>
          <w:sz w:val="32"/>
          <w:szCs w:val="32"/>
        </w:rPr>
      </w:pPr>
      <w:r w:rsidRPr="0081316B">
        <w:rPr>
          <w:b/>
          <w:sz w:val="32"/>
          <w:szCs w:val="32"/>
        </w:rPr>
        <w:t xml:space="preserve">ROCKWALL ISD </w:t>
      </w:r>
      <w:r w:rsidRPr="0081316B">
        <w:rPr>
          <w:b/>
          <w:sz w:val="32"/>
          <w:szCs w:val="32"/>
        </w:rPr>
        <w:br/>
        <w:t>SICK LEAVE BANK GUIDELINES</w:t>
      </w:r>
    </w:p>
    <w:p w:rsidR="009458C1" w:rsidRPr="0081316B" w:rsidRDefault="009458C1" w:rsidP="0081316B">
      <w:pPr>
        <w:pStyle w:val="BodyText"/>
        <w:ind w:left="0"/>
        <w:jc w:val="center"/>
        <w:rPr>
          <w:b/>
          <w:sz w:val="32"/>
          <w:szCs w:val="32"/>
        </w:rPr>
      </w:pPr>
    </w:p>
    <w:p w:rsidR="00231A5E" w:rsidRDefault="001E5ED0" w:rsidP="00E45892">
      <w:pPr>
        <w:pStyle w:val="BodyText"/>
        <w:ind w:left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2609850" y="844550"/>
            <wp:positionH relativeFrom="margin">
              <wp:align>left</wp:align>
            </wp:positionH>
            <wp:positionV relativeFrom="margin">
              <wp:align>top</wp:align>
            </wp:positionV>
            <wp:extent cx="2552700" cy="752475"/>
            <wp:effectExtent l="0" t="0" r="0" b="9525"/>
            <wp:wrapSquare wrapText="bothSides"/>
            <wp:docPr id="4" name="Picture 4" descr="Rockwall ISD 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ckwall ISD logo FINA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A5E">
        <w:rPr>
          <w:b/>
        </w:rPr>
        <w:t xml:space="preserve">  </w:t>
      </w:r>
    </w:p>
    <w:p w:rsidR="009458C1" w:rsidRPr="00C34868" w:rsidRDefault="00231A5E" w:rsidP="009458C1">
      <w:pPr>
        <w:rPr>
          <w:b/>
          <w:sz w:val="28"/>
          <w:szCs w:val="28"/>
        </w:rPr>
      </w:pPr>
      <w:r>
        <w:rPr>
          <w:b/>
          <w:sz w:val="20"/>
        </w:rPr>
        <w:t xml:space="preserve">  </w:t>
      </w:r>
      <w:r w:rsidR="009458C1" w:rsidRPr="00C34868">
        <w:rPr>
          <w:b/>
          <w:sz w:val="28"/>
          <w:szCs w:val="28"/>
        </w:rPr>
        <w:t>Purpose</w:t>
      </w:r>
    </w:p>
    <w:p w:rsidR="00231A5E" w:rsidRDefault="00231A5E" w:rsidP="00231A5E">
      <w:pPr>
        <w:pStyle w:val="BodyText"/>
        <w:spacing w:before="2"/>
        <w:ind w:left="0" w:right="394"/>
        <w:jc w:val="both"/>
      </w:pPr>
      <w:r>
        <w:t xml:space="preserve">  </w:t>
      </w:r>
      <w:r w:rsidR="009458C1">
        <w:t xml:space="preserve">The purpose of the Rockwall </w:t>
      </w:r>
      <w:r w:rsidR="00E01A26">
        <w:t xml:space="preserve">ISD </w:t>
      </w:r>
      <w:r w:rsidR="009458C1">
        <w:t xml:space="preserve">Sick Leave Bank is to provide additional sick leave days </w:t>
      </w:r>
      <w:r w:rsidR="0016753D">
        <w:t xml:space="preserve">to </w:t>
      </w:r>
      <w:r w:rsidR="0081316B">
        <w:t>employees</w:t>
      </w:r>
      <w:r w:rsidR="009458C1">
        <w:t xml:space="preserve"> in the event of </w:t>
      </w:r>
    </w:p>
    <w:p w:rsidR="009458C1" w:rsidRDefault="00231A5E" w:rsidP="00231A5E">
      <w:pPr>
        <w:pStyle w:val="BodyText"/>
        <w:spacing w:before="2"/>
        <w:ind w:left="0" w:right="394"/>
        <w:jc w:val="both"/>
      </w:pPr>
      <w:r>
        <w:t xml:space="preserve">  </w:t>
      </w:r>
      <w:proofErr w:type="gramStart"/>
      <w:r w:rsidR="00C74021">
        <w:t>catastrophic</w:t>
      </w:r>
      <w:proofErr w:type="gramEnd"/>
      <w:r w:rsidR="00495D7B">
        <w:t xml:space="preserve"> illness or injury.  </w:t>
      </w:r>
    </w:p>
    <w:p w:rsidR="00231A5E" w:rsidRDefault="00231A5E" w:rsidP="00231A5E">
      <w:pPr>
        <w:pStyle w:val="BodyText"/>
        <w:spacing w:before="2"/>
        <w:ind w:left="0" w:right="394"/>
        <w:jc w:val="both"/>
      </w:pPr>
    </w:p>
    <w:p w:rsidR="009458C1" w:rsidRPr="00C34868" w:rsidRDefault="009458C1" w:rsidP="009458C1">
      <w:pPr>
        <w:pStyle w:val="Heading1"/>
        <w:rPr>
          <w:rFonts w:ascii="Arial"/>
          <w:sz w:val="28"/>
          <w:szCs w:val="28"/>
        </w:rPr>
      </w:pPr>
      <w:r w:rsidRPr="00C34868">
        <w:rPr>
          <w:rFonts w:ascii="Arial"/>
          <w:sz w:val="28"/>
          <w:szCs w:val="28"/>
        </w:rPr>
        <w:t>Eligibility</w:t>
      </w:r>
    </w:p>
    <w:p w:rsidR="009458C1" w:rsidRDefault="0081316B" w:rsidP="00E32AF4">
      <w:pPr>
        <w:pStyle w:val="BodyText"/>
        <w:spacing w:before="3"/>
        <w:ind w:left="100" w:right="130"/>
        <w:jc w:val="both"/>
      </w:pPr>
      <w:r>
        <w:t xml:space="preserve">All Rockwall ISD employees are </w:t>
      </w:r>
      <w:r w:rsidR="009458C1">
        <w:t xml:space="preserve">eligible </w:t>
      </w:r>
      <w:r>
        <w:t xml:space="preserve">to enroll in the Sick Leave Bank annually, by donating a local leave day during open enrollment.  </w:t>
      </w:r>
      <w:r w:rsidR="009458C1">
        <w:t>The eligibility extends to EMPLOYEE AND IMMEDIATE FAMILY ONLY as defined in Items 1-3 of policy DEC (LOCAL) which reads, “</w:t>
      </w:r>
      <w:r>
        <w:t>Spouse</w:t>
      </w:r>
      <w:r w:rsidR="009458C1">
        <w:t>, children and employee’s parents”</w:t>
      </w:r>
      <w:r w:rsidR="00495D7B">
        <w:t>.</w:t>
      </w:r>
    </w:p>
    <w:p w:rsidR="00231A5E" w:rsidRDefault="00231A5E" w:rsidP="00E32AF4">
      <w:pPr>
        <w:pStyle w:val="BodyText"/>
        <w:spacing w:before="3"/>
        <w:ind w:left="100" w:right="130"/>
        <w:jc w:val="both"/>
      </w:pPr>
    </w:p>
    <w:p w:rsidR="00231A5E" w:rsidRDefault="00231A5E" w:rsidP="00E32AF4">
      <w:pPr>
        <w:pStyle w:val="BodyText"/>
        <w:spacing w:before="3"/>
        <w:ind w:left="100" w:right="130"/>
        <w:jc w:val="both"/>
      </w:pPr>
    </w:p>
    <w:p w:rsidR="009458C1" w:rsidRPr="00C34868" w:rsidRDefault="009458C1" w:rsidP="009458C1">
      <w:pPr>
        <w:pStyle w:val="Heading1"/>
        <w:rPr>
          <w:rFonts w:ascii="Arial"/>
          <w:sz w:val="28"/>
          <w:szCs w:val="28"/>
        </w:rPr>
      </w:pPr>
      <w:r w:rsidRPr="00C34868">
        <w:rPr>
          <w:rFonts w:ascii="Arial"/>
          <w:sz w:val="28"/>
          <w:szCs w:val="28"/>
        </w:rPr>
        <w:t>What You Need To Know</w:t>
      </w:r>
      <w:r w:rsidR="00495D7B" w:rsidRPr="00C34868">
        <w:rPr>
          <w:rFonts w:ascii="Arial"/>
          <w:sz w:val="28"/>
          <w:szCs w:val="28"/>
        </w:rPr>
        <w:t>:</w:t>
      </w:r>
    </w:p>
    <w:p w:rsidR="009458C1" w:rsidRDefault="009458C1" w:rsidP="00E32AF4">
      <w:pPr>
        <w:pStyle w:val="BodyText"/>
        <w:numPr>
          <w:ilvl w:val="0"/>
          <w:numId w:val="4"/>
        </w:numPr>
        <w:spacing w:before="14"/>
        <w:jc w:val="both"/>
      </w:pPr>
      <w:r>
        <w:t>Eligible employees become a member by donating one (1) local leave day per year</w:t>
      </w:r>
      <w:r w:rsidR="00495D7B">
        <w:t>.</w:t>
      </w:r>
    </w:p>
    <w:p w:rsidR="0081316B" w:rsidRDefault="009458C1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 xml:space="preserve">Members must have exhausted all </w:t>
      </w:r>
      <w:r w:rsidR="00495D7B">
        <w:t xml:space="preserve">accrued </w:t>
      </w:r>
      <w:r>
        <w:t xml:space="preserve">paid leave prior to accessing the </w:t>
      </w:r>
      <w:r w:rsidR="0016753D">
        <w:t xml:space="preserve">Sick Leave Bank </w:t>
      </w:r>
      <w:r w:rsidR="00495D7B">
        <w:t xml:space="preserve">due to </w:t>
      </w:r>
      <w:r w:rsidR="00C74021">
        <w:t>catastrophic</w:t>
      </w:r>
      <w:r w:rsidR="00495D7B">
        <w:t xml:space="preserve"> </w:t>
      </w:r>
      <w:r>
        <w:t>illness or injury</w:t>
      </w:r>
      <w:r w:rsidR="00495D7B">
        <w:t>.</w:t>
      </w:r>
    </w:p>
    <w:p w:rsidR="00C74021" w:rsidRDefault="00C74021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An employee must be absent or expect to be absent five (5) or more consecutive full work days for the same reason, in order to apply for Sick Leave Bank benefits.</w:t>
      </w:r>
    </w:p>
    <w:p w:rsidR="0081316B" w:rsidRPr="00C74021" w:rsidRDefault="0081316B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 w:rsidRPr="00C74021">
        <w:t>Absences for elective procedures are not covered.</w:t>
      </w:r>
    </w:p>
    <w:p w:rsidR="00C34868" w:rsidRDefault="0081316B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Appropriate medical certification showing the qualifying reason</w:t>
      </w:r>
      <w:r w:rsidRPr="0081316B">
        <w:rPr>
          <w:spacing w:val="-32"/>
        </w:rPr>
        <w:t xml:space="preserve"> </w:t>
      </w:r>
      <w:r>
        <w:t>for the employee’s absence must accompany the</w:t>
      </w:r>
      <w:r w:rsidRPr="0081316B">
        <w:rPr>
          <w:spacing w:val="-17"/>
        </w:rPr>
        <w:t xml:space="preserve"> </w:t>
      </w:r>
      <w:r w:rsidR="00C74021">
        <w:t>request.</w:t>
      </w:r>
    </w:p>
    <w:p w:rsidR="00C74021" w:rsidRDefault="00C74021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Sick Leave Bank days may be used intermittently with proper medical certification requesting the need of intermittent use.</w:t>
      </w:r>
    </w:p>
    <w:p w:rsidR="00C34868" w:rsidRDefault="00C34868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A Committee will review requests for use of Sick Leave Bank days.</w:t>
      </w:r>
    </w:p>
    <w:p w:rsidR="0081316B" w:rsidRDefault="009458C1" w:rsidP="00E32AF4">
      <w:pPr>
        <w:pStyle w:val="BodyText"/>
        <w:numPr>
          <w:ilvl w:val="0"/>
          <w:numId w:val="4"/>
        </w:numPr>
        <w:spacing w:before="14" w:line="247" w:lineRule="auto"/>
        <w:ind w:right="394"/>
        <w:jc w:val="both"/>
      </w:pPr>
      <w:r>
        <w:t xml:space="preserve">All employees are required to submit a Sick Leave Bank selection, either accepting or declining participation </w:t>
      </w:r>
      <w:r w:rsidR="00495D7B">
        <w:t>annually</w:t>
      </w:r>
      <w:r w:rsidR="00C34868">
        <w:t xml:space="preserve"> during open enrollment</w:t>
      </w:r>
      <w:r w:rsidR="00495D7B">
        <w:t xml:space="preserve">.  </w:t>
      </w:r>
    </w:p>
    <w:p w:rsidR="009458C1" w:rsidRDefault="00495D7B" w:rsidP="00E32AF4">
      <w:pPr>
        <w:pStyle w:val="BodyText"/>
        <w:numPr>
          <w:ilvl w:val="0"/>
          <w:numId w:val="4"/>
        </w:numPr>
        <w:spacing w:before="16"/>
        <w:jc w:val="both"/>
      </w:pPr>
      <w:r>
        <w:t>Sick Leave Bank year is September 1 – August 31 of each school year.</w:t>
      </w:r>
    </w:p>
    <w:p w:rsidR="0081316B" w:rsidRDefault="009458C1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New employees have 31 days from their hire date to m</w:t>
      </w:r>
      <w:r w:rsidR="00495D7B">
        <w:t xml:space="preserve">ake a Sick Leave Bank election.  </w:t>
      </w:r>
    </w:p>
    <w:p w:rsidR="00495D7B" w:rsidRDefault="00495D7B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 xml:space="preserve">Employees </w:t>
      </w:r>
      <w:r w:rsidR="009458C1">
        <w:t>must have earned at least one Local Sick Leave Day for the plan year in order to become a</w:t>
      </w:r>
      <w:r w:rsidR="009458C1">
        <w:rPr>
          <w:spacing w:val="-21"/>
        </w:rPr>
        <w:t xml:space="preserve"> </w:t>
      </w:r>
      <w:r w:rsidR="009458C1">
        <w:t>member</w:t>
      </w:r>
      <w:r>
        <w:t>.</w:t>
      </w:r>
    </w:p>
    <w:p w:rsidR="0016753D" w:rsidRDefault="00495D7B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M</w:t>
      </w:r>
      <w:r w:rsidR="009458C1">
        <w:t xml:space="preserve">embers may be eligible to withdraw up to 30 paid </w:t>
      </w:r>
      <w:r w:rsidR="0016753D">
        <w:t xml:space="preserve">Sick Leave Bank </w:t>
      </w:r>
      <w:r w:rsidR="009458C1">
        <w:t>days per year</w:t>
      </w:r>
      <w:r>
        <w:t>.</w:t>
      </w:r>
    </w:p>
    <w:p w:rsidR="00C34868" w:rsidRDefault="009458C1" w:rsidP="00E32AF4">
      <w:pPr>
        <w:pStyle w:val="BodyText"/>
        <w:numPr>
          <w:ilvl w:val="0"/>
          <w:numId w:val="4"/>
        </w:numPr>
        <w:spacing w:before="16" w:line="228" w:lineRule="exact"/>
        <w:jc w:val="both"/>
      </w:pPr>
      <w:r>
        <w:t>Donated days become the property of the Rockwall ISD Sick Leave Bank</w:t>
      </w:r>
      <w:r w:rsidR="00495D7B">
        <w:t>.</w:t>
      </w:r>
      <w:r w:rsidR="0081316B">
        <w:t xml:space="preserve"> </w:t>
      </w:r>
    </w:p>
    <w:p w:rsidR="00C36D71" w:rsidRDefault="0016753D" w:rsidP="00E32AF4">
      <w:pPr>
        <w:pStyle w:val="BodyText"/>
        <w:numPr>
          <w:ilvl w:val="0"/>
          <w:numId w:val="4"/>
        </w:numPr>
        <w:spacing w:before="3" w:line="243" w:lineRule="exact"/>
        <w:ind w:right="130"/>
        <w:jc w:val="both"/>
      </w:pPr>
      <w:r>
        <w:t xml:space="preserve">Sick Leave Bank </w:t>
      </w:r>
      <w:r w:rsidR="009458C1">
        <w:t xml:space="preserve">days </w:t>
      </w:r>
      <w:r w:rsidR="00C36D71">
        <w:t xml:space="preserve">related to pregnancy </w:t>
      </w:r>
      <w:r w:rsidR="009458C1">
        <w:t xml:space="preserve">may only be granted during medically necessary bed rest or during the first six (6) </w:t>
      </w:r>
      <w:r w:rsidR="00C36D71">
        <w:t xml:space="preserve">to eight (8) </w:t>
      </w:r>
      <w:r w:rsidR="009458C1">
        <w:t>calendar weeks after delivery</w:t>
      </w:r>
      <w:r w:rsidR="00C36D71">
        <w:t>, depending upon delivery</w:t>
      </w:r>
      <w:r w:rsidR="009458C1">
        <w:t xml:space="preserve">. Request for </w:t>
      </w:r>
      <w:r w:rsidR="00C34868">
        <w:t xml:space="preserve">Sick Leave Bank </w:t>
      </w:r>
      <w:r w:rsidR="009458C1">
        <w:t xml:space="preserve">days beyond the </w:t>
      </w:r>
      <w:r w:rsidR="00C36D71">
        <w:t xml:space="preserve">standard </w:t>
      </w:r>
      <w:r w:rsidR="009458C1">
        <w:t>six (6)</w:t>
      </w:r>
      <w:r w:rsidR="00C36D71">
        <w:t xml:space="preserve"> to eight (8)</w:t>
      </w:r>
      <w:r w:rsidR="009458C1">
        <w:t xml:space="preserve"> week </w:t>
      </w:r>
      <w:r>
        <w:t xml:space="preserve">recovery </w:t>
      </w:r>
      <w:r w:rsidR="009458C1">
        <w:t>period may be considered with additional documentation from physician regarding medical necessit</w:t>
      </w:r>
      <w:r w:rsidR="00C36D71">
        <w:t>y.</w:t>
      </w:r>
    </w:p>
    <w:p w:rsidR="009458C1" w:rsidRDefault="009458C1" w:rsidP="00E32AF4">
      <w:pPr>
        <w:pStyle w:val="BodyText"/>
        <w:numPr>
          <w:ilvl w:val="0"/>
          <w:numId w:val="4"/>
        </w:numPr>
        <w:spacing w:before="3" w:line="243" w:lineRule="exact"/>
        <w:ind w:right="130"/>
        <w:jc w:val="both"/>
      </w:pPr>
      <w:r>
        <w:t xml:space="preserve">Once all available </w:t>
      </w:r>
      <w:r w:rsidR="00C36D71">
        <w:t xml:space="preserve">accrued paid leave is </w:t>
      </w:r>
      <w:r>
        <w:t>exhausted, employees will be docked at the following</w:t>
      </w:r>
      <w:r w:rsidRPr="00C36D71">
        <w:rPr>
          <w:spacing w:val="-25"/>
        </w:rPr>
        <w:t xml:space="preserve"> </w:t>
      </w:r>
      <w:r>
        <w:t>rates:</w:t>
      </w:r>
    </w:p>
    <w:p w:rsidR="009458C1" w:rsidRDefault="009458C1" w:rsidP="00E32AF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36" w:lineRule="exact"/>
        <w:jc w:val="both"/>
        <w:rPr>
          <w:sz w:val="20"/>
        </w:rPr>
      </w:pPr>
      <w:r>
        <w:rPr>
          <w:sz w:val="20"/>
        </w:rPr>
        <w:t>Professional employees</w:t>
      </w:r>
      <w:r w:rsidR="00C36D71">
        <w:rPr>
          <w:sz w:val="20"/>
        </w:rPr>
        <w:t xml:space="preserve"> </w:t>
      </w:r>
      <w:r>
        <w:rPr>
          <w:sz w:val="20"/>
        </w:rPr>
        <w:t>-</w:t>
      </w:r>
      <w:r w:rsidR="00C36D71">
        <w:rPr>
          <w:sz w:val="20"/>
        </w:rPr>
        <w:t xml:space="preserve"> </w:t>
      </w:r>
      <w:r>
        <w:rPr>
          <w:sz w:val="20"/>
        </w:rPr>
        <w:t xml:space="preserve">$70.00 per </w:t>
      </w:r>
      <w:r w:rsidR="00C34868">
        <w:t>Sick Leave Bank</w:t>
      </w:r>
      <w:r>
        <w:rPr>
          <w:sz w:val="20"/>
        </w:rPr>
        <w:t xml:space="preserve"> day</w:t>
      </w:r>
      <w:r>
        <w:rPr>
          <w:spacing w:val="-15"/>
          <w:sz w:val="20"/>
        </w:rPr>
        <w:t xml:space="preserve"> </w:t>
      </w:r>
      <w:r>
        <w:rPr>
          <w:sz w:val="20"/>
        </w:rPr>
        <w:t>used</w:t>
      </w:r>
    </w:p>
    <w:p w:rsidR="009458C1" w:rsidRDefault="009458C1" w:rsidP="00E32AF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jc w:val="both"/>
        <w:rPr>
          <w:sz w:val="20"/>
        </w:rPr>
      </w:pPr>
      <w:r>
        <w:rPr>
          <w:sz w:val="20"/>
        </w:rPr>
        <w:t>Support employees</w:t>
      </w:r>
      <w:r w:rsidR="00C36D71">
        <w:rPr>
          <w:sz w:val="20"/>
        </w:rPr>
        <w:t xml:space="preserve"> </w:t>
      </w:r>
      <w:r>
        <w:rPr>
          <w:sz w:val="20"/>
        </w:rPr>
        <w:t>-</w:t>
      </w:r>
      <w:r w:rsidR="00C36D71">
        <w:rPr>
          <w:sz w:val="20"/>
        </w:rPr>
        <w:t xml:space="preserve"> </w:t>
      </w:r>
      <w:r>
        <w:rPr>
          <w:sz w:val="20"/>
        </w:rPr>
        <w:t xml:space="preserve">$20.00 per </w:t>
      </w:r>
      <w:r w:rsidR="00C34868">
        <w:t>Sick Leave Bank</w:t>
      </w:r>
      <w:r>
        <w:rPr>
          <w:sz w:val="20"/>
        </w:rPr>
        <w:t xml:space="preserve"> day</w:t>
      </w:r>
      <w:r>
        <w:rPr>
          <w:spacing w:val="-12"/>
          <w:sz w:val="20"/>
        </w:rPr>
        <w:t xml:space="preserve"> </w:t>
      </w:r>
      <w:r>
        <w:rPr>
          <w:sz w:val="20"/>
        </w:rPr>
        <w:t>used</w:t>
      </w:r>
    </w:p>
    <w:p w:rsidR="009458C1" w:rsidRDefault="009458C1" w:rsidP="00E32AF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39" w:lineRule="exact"/>
        <w:jc w:val="both"/>
        <w:rPr>
          <w:sz w:val="20"/>
        </w:rPr>
      </w:pPr>
      <w:r>
        <w:rPr>
          <w:sz w:val="20"/>
        </w:rPr>
        <w:t>Auxiliary employees</w:t>
      </w:r>
      <w:r w:rsidR="00C36D71">
        <w:rPr>
          <w:sz w:val="20"/>
        </w:rPr>
        <w:t xml:space="preserve"> </w:t>
      </w:r>
      <w:r>
        <w:rPr>
          <w:sz w:val="20"/>
        </w:rPr>
        <w:t>-</w:t>
      </w:r>
      <w:r w:rsidR="00C36D71">
        <w:rPr>
          <w:sz w:val="20"/>
        </w:rPr>
        <w:t xml:space="preserve"> </w:t>
      </w:r>
      <w:r>
        <w:rPr>
          <w:sz w:val="20"/>
        </w:rPr>
        <w:t xml:space="preserve">$10.00 per </w:t>
      </w:r>
      <w:r w:rsidR="00C34868">
        <w:t xml:space="preserve">Sick Leave Bank </w:t>
      </w:r>
      <w:r>
        <w:rPr>
          <w:sz w:val="20"/>
        </w:rPr>
        <w:t>day</w:t>
      </w:r>
      <w:r>
        <w:rPr>
          <w:spacing w:val="-15"/>
          <w:sz w:val="20"/>
        </w:rPr>
        <w:t xml:space="preserve"> </w:t>
      </w:r>
      <w:r>
        <w:rPr>
          <w:sz w:val="20"/>
        </w:rPr>
        <w:t>used</w:t>
      </w:r>
    </w:p>
    <w:p w:rsidR="009458C1" w:rsidRDefault="009458C1" w:rsidP="009458C1">
      <w:pPr>
        <w:pStyle w:val="BodyText"/>
        <w:ind w:left="0"/>
      </w:pPr>
    </w:p>
    <w:p w:rsidR="009458C1" w:rsidRDefault="009458C1" w:rsidP="00F40838">
      <w:pPr>
        <w:pStyle w:val="Heading1"/>
        <w:ind w:left="0"/>
        <w:rPr>
          <w:b w:val="0"/>
          <w:sz w:val="18"/>
        </w:rPr>
      </w:pPr>
    </w:p>
    <w:p w:rsidR="00D679FE" w:rsidRDefault="00D679FE"/>
    <w:sectPr w:rsidR="00D679FE" w:rsidSect="009458C1">
      <w:footerReference w:type="default" r:id="rId8"/>
      <w:pgSz w:w="12240" w:h="15840"/>
      <w:pgMar w:top="64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E7" w:rsidRDefault="008543E7" w:rsidP="00C34868">
      <w:r>
        <w:separator/>
      </w:r>
    </w:p>
  </w:endnote>
  <w:endnote w:type="continuationSeparator" w:id="0">
    <w:p w:rsidR="008543E7" w:rsidRDefault="008543E7" w:rsidP="00C3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868" w:rsidRPr="00C34868" w:rsidRDefault="00C34868">
    <w:pPr>
      <w:pStyle w:val="Footer"/>
      <w:rPr>
        <w:color w:val="A6A6A6" w:themeColor="background1" w:themeShade="A6"/>
        <w:sz w:val="18"/>
        <w:szCs w:val="18"/>
      </w:rPr>
    </w:pPr>
    <w:r w:rsidRPr="00C34868">
      <w:rPr>
        <w:color w:val="A6A6A6" w:themeColor="background1" w:themeShade="A6"/>
        <w:sz w:val="18"/>
        <w:szCs w:val="18"/>
      </w:rPr>
      <w:t>Departm</w:t>
    </w:r>
    <w:r w:rsidR="00F40838">
      <w:rPr>
        <w:color w:val="A6A6A6" w:themeColor="background1" w:themeShade="A6"/>
        <w:sz w:val="18"/>
        <w:szCs w:val="18"/>
      </w:rPr>
      <w:t>ent of Human Resources</w:t>
    </w:r>
    <w:r w:rsidR="00F40838">
      <w:rPr>
        <w:color w:val="A6A6A6" w:themeColor="background1" w:themeShade="A6"/>
        <w:sz w:val="18"/>
        <w:szCs w:val="18"/>
      </w:rPr>
      <w:br/>
    </w:r>
    <w:r w:rsidR="00D62B6A">
      <w:rPr>
        <w:color w:val="A6A6A6" w:themeColor="background1" w:themeShade="A6"/>
        <w:sz w:val="18"/>
        <w:szCs w:val="18"/>
      </w:rPr>
      <w:t>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E7" w:rsidRDefault="008543E7" w:rsidP="00C34868">
      <w:r>
        <w:separator/>
      </w:r>
    </w:p>
  </w:footnote>
  <w:footnote w:type="continuationSeparator" w:id="0">
    <w:p w:rsidR="008543E7" w:rsidRDefault="008543E7" w:rsidP="00C34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12F"/>
    <w:multiLevelType w:val="hybridMultilevel"/>
    <w:tmpl w:val="5B621E7A"/>
    <w:lvl w:ilvl="0" w:tplc="E50C993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D799C"/>
    <w:multiLevelType w:val="hybridMultilevel"/>
    <w:tmpl w:val="48540FDE"/>
    <w:lvl w:ilvl="0" w:tplc="DC5C46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83B78"/>
    <w:multiLevelType w:val="hybridMultilevel"/>
    <w:tmpl w:val="60C62198"/>
    <w:lvl w:ilvl="0" w:tplc="3D3ED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2D6C0DD2">
      <w:numFmt w:val="bullet"/>
      <w:lvlText w:val="•"/>
      <w:lvlJc w:val="left"/>
      <w:pPr>
        <w:ind w:left="2486" w:hanging="360"/>
      </w:pPr>
      <w:rPr>
        <w:rFonts w:hint="default"/>
      </w:rPr>
    </w:lvl>
    <w:lvl w:ilvl="2" w:tplc="7E4EFE98">
      <w:numFmt w:val="bullet"/>
      <w:lvlText w:val="•"/>
      <w:lvlJc w:val="left"/>
      <w:pPr>
        <w:ind w:left="3432" w:hanging="360"/>
      </w:pPr>
      <w:rPr>
        <w:rFonts w:hint="default"/>
      </w:rPr>
    </w:lvl>
    <w:lvl w:ilvl="3" w:tplc="A6B26EF2"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CA7A2404">
      <w:numFmt w:val="bullet"/>
      <w:lvlText w:val="•"/>
      <w:lvlJc w:val="left"/>
      <w:pPr>
        <w:ind w:left="5324" w:hanging="360"/>
      </w:pPr>
      <w:rPr>
        <w:rFonts w:hint="default"/>
      </w:rPr>
    </w:lvl>
    <w:lvl w:ilvl="5" w:tplc="29F05C8C">
      <w:numFmt w:val="bullet"/>
      <w:lvlText w:val="•"/>
      <w:lvlJc w:val="left"/>
      <w:pPr>
        <w:ind w:left="6270" w:hanging="360"/>
      </w:pPr>
      <w:rPr>
        <w:rFonts w:hint="default"/>
      </w:rPr>
    </w:lvl>
    <w:lvl w:ilvl="6" w:tplc="02A6092A"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E580F9CE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06631FC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3" w15:restartNumberingAfterBreak="0">
    <w:nsid w:val="7E9863EC"/>
    <w:multiLevelType w:val="hybridMultilevel"/>
    <w:tmpl w:val="385A5CA2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C1"/>
    <w:rsid w:val="0016753D"/>
    <w:rsid w:val="001E5ED0"/>
    <w:rsid w:val="00231A5E"/>
    <w:rsid w:val="00495D7B"/>
    <w:rsid w:val="005E0641"/>
    <w:rsid w:val="006C573F"/>
    <w:rsid w:val="006F6178"/>
    <w:rsid w:val="0081316B"/>
    <w:rsid w:val="008543E7"/>
    <w:rsid w:val="008914AB"/>
    <w:rsid w:val="009458C1"/>
    <w:rsid w:val="009E00A9"/>
    <w:rsid w:val="00A474D4"/>
    <w:rsid w:val="00A90715"/>
    <w:rsid w:val="00B243FD"/>
    <w:rsid w:val="00B66164"/>
    <w:rsid w:val="00C34868"/>
    <w:rsid w:val="00C36D71"/>
    <w:rsid w:val="00C74021"/>
    <w:rsid w:val="00D23B31"/>
    <w:rsid w:val="00D62B6A"/>
    <w:rsid w:val="00D679FE"/>
    <w:rsid w:val="00D84C52"/>
    <w:rsid w:val="00DA2D27"/>
    <w:rsid w:val="00DD6193"/>
    <w:rsid w:val="00DF2C3D"/>
    <w:rsid w:val="00E01A26"/>
    <w:rsid w:val="00E32012"/>
    <w:rsid w:val="00E32AF4"/>
    <w:rsid w:val="00E45892"/>
    <w:rsid w:val="00F40838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9CE3E-0371-4DDF-9C5B-E30D062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458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458C1"/>
    <w:pPr>
      <w:ind w:left="10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58C1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458C1"/>
    <w:pPr>
      <w:ind w:left="8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458C1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9458C1"/>
    <w:pPr>
      <w:spacing w:line="229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9458C1"/>
    <w:pPr>
      <w:spacing w:line="243" w:lineRule="exact"/>
      <w:ind w:left="405" w:right="407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A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86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34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6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Roberts</dc:creator>
  <cp:keywords/>
  <dc:description/>
  <cp:lastModifiedBy>Shelbi Hemphill</cp:lastModifiedBy>
  <cp:revision>2</cp:revision>
  <cp:lastPrinted>2019-06-05T20:42:00Z</cp:lastPrinted>
  <dcterms:created xsi:type="dcterms:W3CDTF">2024-02-14T17:33:00Z</dcterms:created>
  <dcterms:modified xsi:type="dcterms:W3CDTF">2024-02-14T17:33:00Z</dcterms:modified>
</cp:coreProperties>
</file>